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C94E87" w:rsidRDefault="00603AAE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prijavitelj je projektnog prijedloga „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prijavljenog na Poziv za dostavu projektnih prijedloga Ministarstva znanosti, obrazovanja i sporta pod nazivom „</w:t>
      </w:r>
      <w:r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okviru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sufinanciranog sredstv</w:t>
      </w:r>
      <w:r w:rsidRPr="00C94E87">
        <w:rPr>
          <w:rFonts w:asciiTheme="minorHAnsi" w:hAnsiTheme="minorHAnsi" w:cs="Tahoma"/>
          <w:bCs/>
          <w:sz w:val="22"/>
          <w:szCs w:val="22"/>
        </w:rPr>
        <w:t>ima Europskog socijalnog fonda.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kao nositelj u projektu 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za obavljanje poslova 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603AAE" w:rsidRPr="00C94E87">
        <w:rPr>
          <w:rFonts w:asciiTheme="minorHAnsi" w:hAnsiTheme="minorHAnsi" w:cs="Tahoma"/>
          <w:b/>
          <w:sz w:val="22"/>
          <w:szCs w:val="22"/>
        </w:rPr>
        <w:t>8</w:t>
      </w:r>
      <w:r w:rsidR="00133728">
        <w:rPr>
          <w:rFonts w:asciiTheme="minorHAnsi" w:hAnsiTheme="minorHAnsi" w:cs="Tahoma"/>
          <w:b/>
          <w:sz w:val="22"/>
          <w:szCs w:val="22"/>
        </w:rPr>
        <w:t>2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706" w:type="dxa"/>
        <w:tblLook w:val="04A0"/>
      </w:tblPr>
      <w:tblGrid>
        <w:gridCol w:w="601"/>
        <w:gridCol w:w="5839"/>
        <w:gridCol w:w="1142"/>
        <w:gridCol w:w="1124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R.br.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Naziv škole i sjedište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Razred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Sati/tjedno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škola-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Giuseppina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Martinuzzi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Pula-Pola,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Santoriova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ulica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Kaštanjer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Monte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Zaro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Stoja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Stoja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Šijana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Veli Vrh Pula, Josipa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Zahtile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Veli Vrh Pula, Josipa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Zahtile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Veruda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i 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Centar „Liče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Faraguna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“ Labin,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Šćiri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GRAČIŠĆE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 PŠ LUPOGLAV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13372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  <w:r w:rsidR="0013372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Nova 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1.r.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Poreč, Karla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Huguesa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„Vladimir Nazor“,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Edmonda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De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Amicisa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Jurja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Dobrile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"Juraj Dobrila", Stanka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Pauletića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ROVINJSKO SELO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Talijanska osnovna škola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italiana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“Bernardo </w:t>
            </w:r>
            <w:r w:rsidRPr="00C94E87">
              <w:rPr>
                <w:rFonts w:asciiTheme="minorHAnsi" w:hAnsiTheme="minorHAnsi"/>
                <w:sz w:val="20"/>
              </w:rPr>
              <w:lastRenderedPageBreak/>
              <w:t xml:space="preserve">Benussi“ Rovinj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Rovigno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>, Omladinska 20,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Osnovna škola Marije i Line,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Talijanska osnovna škola "Galileo Galilei" Umag -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Scuola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elementare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italiana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"Galileo Galilei"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Umago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Edoarda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C94E87">
              <w:rPr>
                <w:rFonts w:asciiTheme="minorHAnsi" w:hAnsiTheme="minorHAnsi"/>
                <w:sz w:val="20"/>
              </w:rPr>
              <w:t>Pascalia</w:t>
            </w:r>
            <w:proofErr w:type="spellEnd"/>
            <w:r w:rsidRPr="00C94E87">
              <w:rPr>
                <w:rFonts w:asciiTheme="minorHAnsi" w:hAnsiTheme="minorHAnsi"/>
                <w:sz w:val="20"/>
              </w:rPr>
              <w:t xml:space="preserve"> 2/a, 52470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</w:tbl>
    <w:p w:rsidR="000B44B9" w:rsidRDefault="000B44B9">
      <w:pPr>
        <w:rPr>
          <w:rFonts w:asciiTheme="minorHAnsi" w:hAnsiTheme="minorHAnsi" w:cs="Tahoma"/>
          <w:sz w:val="22"/>
          <w:szCs w:val="22"/>
        </w:rPr>
      </w:pP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STRUČNO KOMUNIKACIJSKI POSREDNIK</w:t>
      </w: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1</w:t>
      </w:r>
    </w:p>
    <w:p w:rsidR="00133728" w:rsidRPr="00133728" w:rsidRDefault="00133728" w:rsidP="00133728">
      <w:pPr>
        <w:numPr>
          <w:ilvl w:val="0"/>
          <w:numId w:val="11"/>
        </w:numPr>
        <w:spacing w:after="120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Mjesto rada:  </w:t>
      </w: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839"/>
        <w:gridCol w:w="1142"/>
        <w:gridCol w:w="1124"/>
      </w:tblGrid>
      <w:tr w:rsidR="00133728" w:rsidRPr="00C94E87" w:rsidTr="00133728">
        <w:trPr>
          <w:trHeight w:val="2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</w:tbl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Prijevoz na rad: Novčana naknada do 400 kn mjesečno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Plaća: 25 kuna neto po satu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najmanje završena srednja škola.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2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program edukacije pomoćnika u nastavi tijekom prva dva mjeseca rada.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bCs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D77B35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 w:type="page"/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lastRenderedPageBreak/>
        <w:t>OPIS POSLOVA: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sklopit će se pisani ugovor u kojemu će biti utvrđeni poslovi, trajanje izvršenja poslova te međusobna prava, obveze i odgovornosti ugovornih strana.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5E7686" w:rsidRPr="00C94E87" w:rsidRDefault="005E7686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Kandidati koji posjeduju uvjerenje o sudjelovanju u programu edukacije pomoćnika u nastavi, dužni su ga priložiti pri prijavi na natječaj.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zaprimljene najkasnije </w:t>
      </w:r>
      <w:r w:rsidR="005E7686" w:rsidRPr="00C94E87">
        <w:rPr>
          <w:rFonts w:asciiTheme="minorHAnsi" w:hAnsiTheme="minorHAnsi" w:cs="Tahoma"/>
          <w:b/>
          <w:bCs/>
          <w:sz w:val="22"/>
          <w:szCs w:val="22"/>
        </w:rPr>
        <w:t xml:space="preserve">do 01.9.2016. do 9.00 sati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i dostavljaju se na adresu Škole u koju se kandidat prijavljuje s naznakom „Javni poziv za prijem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u </w:t>
      </w:r>
      <w:proofErr w:type="spellStart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šk.god</w:t>
      </w:r>
      <w:proofErr w:type="spellEnd"/>
      <w:r w:rsidRPr="00C94E87">
        <w:rPr>
          <w:rFonts w:asciiTheme="minorHAnsi" w:hAnsiTheme="minorHAnsi" w:cs="Tahoma"/>
          <w:bCs/>
          <w:kern w:val="36"/>
          <w:sz w:val="22"/>
          <w:szCs w:val="22"/>
        </w:rPr>
        <w:t>. 201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6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/1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7</w:t>
      </w:r>
      <w:r w:rsidRPr="00C94E87">
        <w:rPr>
          <w:rFonts w:asciiTheme="minorHAnsi" w:hAnsiTheme="minorHAnsi" w:cs="Tahoma"/>
          <w:bCs/>
          <w:sz w:val="22"/>
          <w:szCs w:val="22"/>
        </w:rPr>
        <w:t>“.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Zainteresirani za zaposlenje u više škola dostavljaju sve dokumente u sve škole, a u molbi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A2" w:rsidRDefault="00B24EA2">
      <w:r>
        <w:separator/>
      </w:r>
    </w:p>
  </w:endnote>
  <w:endnote w:type="continuationSeparator" w:id="0">
    <w:p w:rsidR="00B24EA2" w:rsidRDefault="00B2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A2" w:rsidRDefault="00B24EA2">
      <w:r>
        <w:separator/>
      </w:r>
    </w:p>
  </w:footnote>
  <w:footnote w:type="continuationSeparator" w:id="0">
    <w:p w:rsidR="00B24EA2" w:rsidRDefault="00B24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3"/>
    <w:rsid w:val="000B44B9"/>
    <w:rsid w:val="000E3052"/>
    <w:rsid w:val="001223DB"/>
    <w:rsid w:val="00133728"/>
    <w:rsid w:val="00233A8E"/>
    <w:rsid w:val="00393BF3"/>
    <w:rsid w:val="005E7686"/>
    <w:rsid w:val="00603AAE"/>
    <w:rsid w:val="0061042B"/>
    <w:rsid w:val="007945F6"/>
    <w:rsid w:val="00890D1E"/>
    <w:rsid w:val="008C1CF9"/>
    <w:rsid w:val="00B24EA2"/>
    <w:rsid w:val="00C03827"/>
    <w:rsid w:val="00C94E87"/>
    <w:rsid w:val="00D77B35"/>
    <w:rsid w:val="00E5582E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2</cp:revision>
  <dcterms:created xsi:type="dcterms:W3CDTF">2016-08-25T09:24:00Z</dcterms:created>
  <dcterms:modified xsi:type="dcterms:W3CDTF">2016-08-25T09:24:00Z</dcterms:modified>
</cp:coreProperties>
</file>