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FD7F5"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MINISTARSTVO ZNANOSTI, OBRAZOVANJA I ŠPORTA</w:t>
      </w:r>
    </w:p>
    <w:p w14:paraId="2F6C88C7"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Na temelju članka 72. stavka 9. </w:t>
      </w:r>
      <w:hyperlink r:id="rId4" w:history="1">
        <w:r w:rsidRPr="003A2BDF">
          <w:rPr>
            <w:rStyle w:val="Hyperlink"/>
            <w:rFonts w:ascii="Calibri" w:hAnsi="Calibri" w:cs="Calibri"/>
            <w:b/>
            <w:bCs/>
            <w:sz w:val="24"/>
            <w:szCs w:val="24"/>
          </w:rPr>
          <w:t>Zakona o odgoju i obrazovanju u osnovnoj i srednjoj školi</w:t>
        </w:r>
      </w:hyperlink>
      <w:r w:rsidRPr="003A2BDF">
        <w:rPr>
          <w:rFonts w:ascii="Calibri" w:hAnsi="Calibri" w:cs="Calibri"/>
          <w:sz w:val="24"/>
          <w:szCs w:val="24"/>
        </w:rPr>
        <w:t> (»Narodne novine«, broj 87/08., 86/09., 92/10. i 105/10. - ispr.), ministar znanosti, obrazovanja i športa donosi</w:t>
      </w:r>
    </w:p>
    <w:p w14:paraId="71C80BAA"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 </w:t>
      </w:r>
    </w:p>
    <w:p w14:paraId="22745CA4" w14:textId="77777777" w:rsidR="003A2BDF" w:rsidRPr="003A2BDF" w:rsidRDefault="003A2BDF" w:rsidP="003A2BDF">
      <w:pPr>
        <w:rPr>
          <w:rFonts w:ascii="Calibri" w:hAnsi="Calibri" w:cs="Calibri"/>
          <w:b/>
          <w:bCs/>
          <w:sz w:val="24"/>
          <w:szCs w:val="24"/>
        </w:rPr>
      </w:pPr>
      <w:r w:rsidRPr="003A2BDF">
        <w:rPr>
          <w:rFonts w:ascii="Calibri" w:hAnsi="Calibri" w:cs="Calibri"/>
          <w:b/>
          <w:bCs/>
          <w:sz w:val="24"/>
          <w:szCs w:val="24"/>
        </w:rPr>
        <w:t>PRAVILNIK O NAČINIMA, POSTUPCIMA I ELEMENTIMA VREDNOVANJA UČENIKA U OSNOVNOJ I SREDNJOJ ŠKOLI</w:t>
      </w:r>
    </w:p>
    <w:p w14:paraId="6512B7FF"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Pročišćeni tekst</w:t>
      </w:r>
    </w:p>
    <w:p w14:paraId="1A29A93A"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NN </w:t>
      </w:r>
      <w:hyperlink r:id="rId5" w:history="1">
        <w:r w:rsidRPr="003A2BDF">
          <w:rPr>
            <w:rStyle w:val="Hyperlink"/>
            <w:rFonts w:ascii="Calibri" w:hAnsi="Calibri" w:cs="Calibri"/>
            <w:b/>
            <w:bCs/>
            <w:sz w:val="24"/>
            <w:szCs w:val="24"/>
          </w:rPr>
          <w:t>112/10</w:t>
        </w:r>
      </w:hyperlink>
      <w:r w:rsidRPr="003A2BDF">
        <w:rPr>
          <w:rFonts w:ascii="Calibri" w:hAnsi="Calibri" w:cs="Calibri"/>
          <w:sz w:val="24"/>
          <w:szCs w:val="24"/>
        </w:rPr>
        <w:t>, </w:t>
      </w:r>
      <w:hyperlink r:id="rId6" w:history="1">
        <w:r w:rsidRPr="003A2BDF">
          <w:rPr>
            <w:rStyle w:val="Hyperlink"/>
            <w:rFonts w:ascii="Calibri" w:hAnsi="Calibri" w:cs="Calibri"/>
            <w:b/>
            <w:bCs/>
            <w:sz w:val="24"/>
            <w:szCs w:val="24"/>
          </w:rPr>
          <w:t>82/19</w:t>
        </w:r>
      </w:hyperlink>
      <w:r w:rsidRPr="003A2BDF">
        <w:rPr>
          <w:rFonts w:ascii="Calibri" w:hAnsi="Calibri" w:cs="Calibri"/>
          <w:sz w:val="24"/>
          <w:szCs w:val="24"/>
        </w:rPr>
        <w:t>, </w:t>
      </w:r>
      <w:hyperlink r:id="rId7" w:history="1">
        <w:r w:rsidRPr="003A2BDF">
          <w:rPr>
            <w:rStyle w:val="Hyperlink"/>
            <w:rFonts w:ascii="Calibri" w:hAnsi="Calibri" w:cs="Calibri"/>
            <w:b/>
            <w:bCs/>
            <w:sz w:val="24"/>
            <w:szCs w:val="24"/>
          </w:rPr>
          <w:t>43/20</w:t>
        </w:r>
      </w:hyperlink>
      <w:r w:rsidRPr="003A2BDF">
        <w:rPr>
          <w:rFonts w:ascii="Calibri" w:hAnsi="Calibri" w:cs="Calibri"/>
          <w:sz w:val="24"/>
          <w:szCs w:val="24"/>
        </w:rPr>
        <w:t>, </w:t>
      </w:r>
      <w:hyperlink r:id="rId8" w:history="1">
        <w:r w:rsidRPr="003A2BDF">
          <w:rPr>
            <w:rStyle w:val="Hyperlink"/>
            <w:rFonts w:ascii="Calibri" w:hAnsi="Calibri" w:cs="Calibri"/>
            <w:b/>
            <w:bCs/>
            <w:sz w:val="24"/>
            <w:szCs w:val="24"/>
          </w:rPr>
          <w:t>100/21</w:t>
        </w:r>
      </w:hyperlink>
    </w:p>
    <w:p w14:paraId="4B4DC5A6"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1. (NN </w:t>
      </w:r>
      <w:hyperlink r:id="rId9" w:history="1">
        <w:r w:rsidRPr="003A2BDF">
          <w:rPr>
            <w:rStyle w:val="Hyperlink"/>
            <w:rFonts w:ascii="Calibri" w:hAnsi="Calibri" w:cs="Calibri"/>
            <w:b/>
            <w:bCs/>
            <w:sz w:val="24"/>
            <w:szCs w:val="24"/>
          </w:rPr>
          <w:t>82/19</w:t>
        </w:r>
      </w:hyperlink>
      <w:r w:rsidRPr="003A2BDF">
        <w:rPr>
          <w:rFonts w:ascii="Calibri" w:hAnsi="Calibri" w:cs="Calibri"/>
          <w:sz w:val="24"/>
          <w:szCs w:val="24"/>
        </w:rPr>
        <w:t>)</w:t>
      </w:r>
    </w:p>
    <w:p w14:paraId="01A45843"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(1) Ovim Pravilnikom utvrđuju se metode, načini, postupci i elementi vrednovanja postignute razine ostvarenosti odgojno-obrazovnih ishoda, postignuća za učenike u osnovnim i srednjim školama, prava i obveze učitelja/nastavnika, učenika, razrednika i ravnatelja u provođenju postupaka vrednovanja tijekom školske godine te prava obveze roditelja/skrbnika (u daljem tekstu: roditelja).</w:t>
      </w:r>
    </w:p>
    <w:p w14:paraId="18DAA57C"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(2) Izrazi koji se u ovom Pravilniku koriste za osobe u muškome rodu, neutralni su i odnose se na muške i ženske osobe.</w:t>
      </w:r>
    </w:p>
    <w:p w14:paraId="170B40CB"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1.a (NN </w:t>
      </w:r>
      <w:hyperlink r:id="rId10" w:history="1">
        <w:r w:rsidRPr="003A2BDF">
          <w:rPr>
            <w:rStyle w:val="Hyperlink"/>
            <w:rFonts w:ascii="Calibri" w:hAnsi="Calibri" w:cs="Calibri"/>
            <w:b/>
            <w:bCs/>
            <w:sz w:val="24"/>
            <w:szCs w:val="24"/>
          </w:rPr>
          <w:t>43/20</w:t>
        </w:r>
      </w:hyperlink>
      <w:r w:rsidRPr="003A2BDF">
        <w:rPr>
          <w:rFonts w:ascii="Calibri" w:hAnsi="Calibri" w:cs="Calibri"/>
          <w:sz w:val="24"/>
          <w:szCs w:val="24"/>
        </w:rPr>
        <w:t>)</w:t>
      </w:r>
    </w:p>
    <w:p w14:paraId="25C17A4F"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(1) U slučaju elementarne nepogode, ratnog stanja ili druge neposredne ugroze stanovništva, ministar nadležan za obrazovanje može drukčije od načina propisanog ovim Pravilnikom odrediti metode, postupke i elemente vrednovanja odgojno-obrazovnih postignuća učenika, prava i obveze učitelja/nastavnika, učenika, razrednika i ravnatelja u provođenju postupaka vrednovanja te prava obveze roditelja/skrbnika.</w:t>
      </w:r>
    </w:p>
    <w:p w14:paraId="0A7E00A2"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(2) O pitanjima vezanim uz praćenje i ocjenjivanje učenika u izvanrednim okolnostima iz stavka 1. ovoga članka ministar donosi odluku.</w:t>
      </w:r>
    </w:p>
    <w:p w14:paraId="1EEAED1B"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2. (NN </w:t>
      </w:r>
      <w:hyperlink r:id="rId11" w:history="1">
        <w:r w:rsidRPr="003A2BDF">
          <w:rPr>
            <w:rStyle w:val="Hyperlink"/>
            <w:rFonts w:ascii="Calibri" w:hAnsi="Calibri" w:cs="Calibri"/>
            <w:b/>
            <w:bCs/>
            <w:sz w:val="24"/>
            <w:szCs w:val="24"/>
          </w:rPr>
          <w:t>82/19</w:t>
        </w:r>
      </w:hyperlink>
      <w:r w:rsidRPr="003A2BDF">
        <w:rPr>
          <w:rFonts w:ascii="Calibri" w:hAnsi="Calibri" w:cs="Calibri"/>
          <w:sz w:val="24"/>
          <w:szCs w:val="24"/>
        </w:rPr>
        <w:t>)</w:t>
      </w:r>
    </w:p>
    <w:p w14:paraId="3596E104"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Definicije pojmova</w:t>
      </w:r>
    </w:p>
    <w:p w14:paraId="78431B1F"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(1) Vrednovanje je sustavno prikupljanje podataka u procesu učenja i postignutoj razini ostvarenosti odgojno-obrazovnih ishoda, kompetencijama, znanjima, vještinama, sposobnostima, samostalnosti i odgovornosti prema radu, u skladu s unaprijed definiranim i prihvaćenim metodama i elementima. Vrednovanje obuhvaća tri pristupa vrednovanju: vrednovanje za učenje, vrednovanje kao učenje, vrednovanje naučenog. Vrednovanje za učenje služi unapređivanju i planiranju budućega učenja i poučavanja. Vrednovanje kao učenje podrazumijeva aktivno uključivanje učenika u proces vrednovanja te razvoj učeničkoga autonomnog i samoreguliranog pristupa učenju. Vrednovanje naučenog je ocjenjivanje razine postignuća učenika. Vrednovanje za učenje i vrednovanje kao učenje ne rezultiraju ocjenom, nego kvalitativnom povratnom informacijom.</w:t>
      </w:r>
    </w:p>
    <w:p w14:paraId="4174737D"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lastRenderedPageBreak/>
        <w:t>(2) Praćenje je sustavno uočavanje i bilježenje zapažanja o postignutoj razini ostvarenosti odgojno-obrazovnih ishoda u svrhu poticanja učenja i provjere postignute razine ostvarenosti odgojno-obrazovnih ishoda i očekivanja definiranih nacionalnim, predmetnim i međupredmetnim kuriklulumima, nastavnim programima te strukovnim i školskim kurikulumima. Uključuje sva tri pristupa vrednovanju: vrednovanje za učenje, vrednovanje kao učenje i vrednovanje naučenog.</w:t>
      </w:r>
    </w:p>
    <w:p w14:paraId="2B7F6CBC"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(3) Provjeravanje je procjena postignute razine ostvarenosti odgojno-obrazovnih ishoda, kompetencija i očekivanja u nastavnome predmetu ili području i drugim oblicima rada u školi tijekom školske godine.</w:t>
      </w:r>
    </w:p>
    <w:p w14:paraId="527B3878"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(4) Ocjenjivanje je pridavanje brojčane ili opisne vrijednosti rezultatima praćenja i provjeravanja učenikovog rada.</w:t>
      </w:r>
    </w:p>
    <w:p w14:paraId="5C323B11"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3. (NN </w:t>
      </w:r>
      <w:hyperlink r:id="rId12" w:history="1">
        <w:r w:rsidRPr="003A2BDF">
          <w:rPr>
            <w:rStyle w:val="Hyperlink"/>
            <w:rFonts w:ascii="Calibri" w:hAnsi="Calibri" w:cs="Calibri"/>
            <w:b/>
            <w:bCs/>
            <w:sz w:val="24"/>
            <w:szCs w:val="24"/>
          </w:rPr>
          <w:t>82/19</w:t>
        </w:r>
      </w:hyperlink>
      <w:r w:rsidRPr="003A2BDF">
        <w:rPr>
          <w:rFonts w:ascii="Calibri" w:hAnsi="Calibri" w:cs="Calibri"/>
          <w:sz w:val="24"/>
          <w:szCs w:val="24"/>
        </w:rPr>
        <w:t>)</w:t>
      </w:r>
    </w:p>
    <w:p w14:paraId="0E10F576"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Metode i elementi vrednovanja</w:t>
      </w:r>
    </w:p>
    <w:p w14:paraId="3BA57421"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(1) Metode i elementi vrednovanja postignute razine ostvarenosti odgojno-obrazovnih ishoda, kompetencija i očekivanja proizlaze iz nacionalnoga, predmetnih i međupredmetnih kurikuluma, nastavnih programa, strukovnih kurikuluma, školskoga kurikuluma te ovoga Pravilnika i pravila ponašanja učenika koje donosi škola.</w:t>
      </w:r>
    </w:p>
    <w:p w14:paraId="5564DBAC"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(2) Postignuća učenika pri izradi uratka, praktičnoga rada, pokusa, izvođenja laboratorijske i druge vježbe, nastupa (umjetničke: glazbene, plesne i likovne škole), vrednuju se različitim metodama u skladu s predmetnim kurikulumima.</w:t>
      </w:r>
    </w:p>
    <w:p w14:paraId="194C2C7B"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(3) Metode i elemente vrednovanja u umjetničkim školama određuju stručna povjerenstva umjetničkih škola. Vrednovanje provodi ispitno povjerenstvo na javnim i internim nastupima te godišnjim ispitima.</w:t>
      </w:r>
    </w:p>
    <w:p w14:paraId="1A5319BE"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4.</w:t>
      </w:r>
    </w:p>
    <w:p w14:paraId="010F4433"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Aktivnosti u procesu vrednovanja razvoja učenikovih kompetencija i ponašanja provode učitelji/nastavnici, razrednici i stručni suradnici transparentno, javno i kontinuirano, poštujući učenikovu osobnost i dajući svakome učeniku jednaku priliku.</w:t>
      </w:r>
    </w:p>
    <w:p w14:paraId="41B81884"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5. (NN </w:t>
      </w:r>
      <w:hyperlink r:id="rId13" w:history="1">
        <w:r w:rsidRPr="003A2BDF">
          <w:rPr>
            <w:rStyle w:val="Hyperlink"/>
            <w:rFonts w:ascii="Calibri" w:hAnsi="Calibri" w:cs="Calibri"/>
            <w:b/>
            <w:bCs/>
            <w:sz w:val="24"/>
            <w:szCs w:val="24"/>
          </w:rPr>
          <w:t>82/19</w:t>
        </w:r>
      </w:hyperlink>
      <w:r w:rsidRPr="003A2BDF">
        <w:rPr>
          <w:rFonts w:ascii="Calibri" w:hAnsi="Calibri" w:cs="Calibri"/>
          <w:sz w:val="24"/>
          <w:szCs w:val="24"/>
        </w:rPr>
        <w:t>)</w:t>
      </w:r>
    </w:p>
    <w:p w14:paraId="4E915E70"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Vrednovanje postignute razine ostvarenosti odgojno-obrazovnih ishoda, kompetencija učenika s teškoćama</w:t>
      </w:r>
    </w:p>
    <w:p w14:paraId="39E0D5DD"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(1) Kod učenika s teškoćama treba vrednovati njegov odnos prema radu i postavljenim zadacima te odgojnim vrijednostima.</w:t>
      </w:r>
    </w:p>
    <w:p w14:paraId="01795DB3"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(2) Metode, načine i postupke vrednovanja učenika s teškoćama, koji savladavaju individualne programe i posebne kurikulume uključujući i vladanje, učitelji/nastavnici trebaju primjeriti teškoći i osobnosti učenika.</w:t>
      </w:r>
    </w:p>
    <w:p w14:paraId="280C4A69"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lastRenderedPageBreak/>
        <w:t>(3) Vrednovanje valja usmjeriti na poticanje učenika na aktivno sudjelovanje u nastavi i izvannastavnim aktivnostima, razvijati njegovo samopouzdanje i osjećaj napredovanja kako bi kvalitetno iskoristio očuvane sposobnosti i razvio nove.</w:t>
      </w:r>
    </w:p>
    <w:p w14:paraId="7A8F6254"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(4) Metode, načini i postupci vrednovanja trebaju biti u skladu s preporukama stručnoga tima za pojedino područje, primjereni stupnju i vrsti teškoće te jasni svim sudionicima u procesu vrednovanja.</w:t>
      </w:r>
    </w:p>
    <w:p w14:paraId="69BC2118"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(5) Razinu razvijenosti kompetencija učenika treba provjeravati oblikom u kojemu mu njegova teškoća najmanje smeta i u kojemu se najbolje može izraziti. Pogreške nastale zbog teškoće moraju se ispraviti, ali ne smiju utjecati na cjelokupno vrednovanje rada, tj. na ocjenu. Ocjenu treba popratiti opisno.</w:t>
      </w:r>
    </w:p>
    <w:p w14:paraId="714E7F97"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(6) Ako učenik ima izražene teškoće u glasovno-govornoj komunikaciji, može mu se omogućiti provjeravanje u pisanome obliku u dogovoru s predmetnim učiteljem i stručnim timom škole.</w:t>
      </w:r>
    </w:p>
    <w:p w14:paraId="6B81B6F1"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(7) Ako učenik ima izražene teškoće u pisanoj komunikaciji, učeniku treba omogućiti provjeravanje u usmenome obliku u dogovoru s predmetnim učiteljem i stručnim timom škole.</w:t>
      </w:r>
    </w:p>
    <w:p w14:paraId="6A543BC0"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6. (NN </w:t>
      </w:r>
      <w:hyperlink r:id="rId14" w:history="1">
        <w:r w:rsidRPr="003A2BDF">
          <w:rPr>
            <w:rStyle w:val="Hyperlink"/>
            <w:rFonts w:ascii="Calibri" w:hAnsi="Calibri" w:cs="Calibri"/>
            <w:b/>
            <w:bCs/>
            <w:sz w:val="24"/>
            <w:szCs w:val="24"/>
          </w:rPr>
          <w:t>82/19</w:t>
        </w:r>
      </w:hyperlink>
      <w:r w:rsidRPr="003A2BDF">
        <w:rPr>
          <w:rFonts w:ascii="Calibri" w:hAnsi="Calibri" w:cs="Calibri"/>
          <w:sz w:val="24"/>
          <w:szCs w:val="24"/>
        </w:rPr>
        <w:t>)</w:t>
      </w:r>
    </w:p>
    <w:p w14:paraId="3C852CDC"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Uvodno ili inicijalno provjeravanje</w:t>
      </w:r>
    </w:p>
    <w:p w14:paraId="5C16D447"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(1) Učitelj/nastavnik može na početku nastavne godine – u svrhu uvida u postignutu razinu kompetencija učenika u pojedinome razrednome odjelu i nastavnome predmetu – provesti uvodno ili inicijalno provjeravanje.</w:t>
      </w:r>
    </w:p>
    <w:p w14:paraId="72DA9842"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(2) Rezultat inicijalne provjere upisuje se u bilješke o praćenju učenika, ne ocjenjuje se brojčano te služi pravovremenome pružanju kvalitetne individualne informacije učeniku i roditelju.</w:t>
      </w:r>
    </w:p>
    <w:p w14:paraId="47100E78"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7. (NN </w:t>
      </w:r>
      <w:hyperlink r:id="rId15" w:history="1">
        <w:r w:rsidRPr="003A2BDF">
          <w:rPr>
            <w:rStyle w:val="Hyperlink"/>
            <w:rFonts w:ascii="Calibri" w:hAnsi="Calibri" w:cs="Calibri"/>
            <w:b/>
            <w:bCs/>
            <w:sz w:val="24"/>
            <w:szCs w:val="24"/>
          </w:rPr>
          <w:t>82/19</w:t>
        </w:r>
      </w:hyperlink>
      <w:r w:rsidRPr="003A2BDF">
        <w:rPr>
          <w:rFonts w:ascii="Calibri" w:hAnsi="Calibri" w:cs="Calibri"/>
          <w:sz w:val="24"/>
          <w:szCs w:val="24"/>
        </w:rPr>
        <w:t>)</w:t>
      </w:r>
    </w:p>
    <w:p w14:paraId="4E07DA0D"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Usmeno provjeravanje</w:t>
      </w:r>
    </w:p>
    <w:p w14:paraId="1E44F101"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(1) Pod usmenim provjeravanjem podrazumijevaju se svi usmeni oblici provjere postignute razine kompetencija ostvarenosti odgojno-obrazovnih ishoda učenika koji rezultiraju ocjenom. Usmeni se oblici provjere provode kontinuirano tijekom nastavne godine.</w:t>
      </w:r>
    </w:p>
    <w:p w14:paraId="55DE6364"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(2) Usmeno provjeravanje i ocjenjivanje učenika može se provoditi na svakom nastavnome satu bez obveze najave i, u pravilu, ne smije trajati dulje od 10 minuta po učeniku.</w:t>
      </w:r>
    </w:p>
    <w:p w14:paraId="4F97DDBA"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(3) U danu kada piše pisanu provjeru, učenik može biti usmeno provjeravan samo iz jednoga nastavnoga predmeta, odnosno iz dva nastavna predmeta ako taj dan nema pisanih provjera. Datum svake usmene provjere mora biti unesen u rubriku bilježaka.</w:t>
      </w:r>
    </w:p>
    <w:p w14:paraId="1021FFB7"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8. (NN </w:t>
      </w:r>
      <w:hyperlink r:id="rId16" w:history="1">
        <w:r w:rsidRPr="003A2BDF">
          <w:rPr>
            <w:rStyle w:val="Hyperlink"/>
            <w:rFonts w:ascii="Calibri" w:hAnsi="Calibri" w:cs="Calibri"/>
            <w:b/>
            <w:bCs/>
            <w:sz w:val="24"/>
            <w:szCs w:val="24"/>
          </w:rPr>
          <w:t>82/19</w:t>
        </w:r>
      </w:hyperlink>
      <w:r w:rsidRPr="003A2BDF">
        <w:rPr>
          <w:rFonts w:ascii="Calibri" w:hAnsi="Calibri" w:cs="Calibri"/>
          <w:sz w:val="24"/>
          <w:szCs w:val="24"/>
        </w:rPr>
        <w:t>, </w:t>
      </w:r>
      <w:hyperlink r:id="rId17" w:history="1">
        <w:r w:rsidRPr="003A2BDF">
          <w:rPr>
            <w:rStyle w:val="Hyperlink"/>
            <w:rFonts w:ascii="Calibri" w:hAnsi="Calibri" w:cs="Calibri"/>
            <w:b/>
            <w:bCs/>
            <w:sz w:val="24"/>
            <w:szCs w:val="24"/>
          </w:rPr>
          <w:t>100/21</w:t>
        </w:r>
      </w:hyperlink>
      <w:r w:rsidRPr="003A2BDF">
        <w:rPr>
          <w:rFonts w:ascii="Calibri" w:hAnsi="Calibri" w:cs="Calibri"/>
          <w:sz w:val="24"/>
          <w:szCs w:val="24"/>
        </w:rPr>
        <w:t>)</w:t>
      </w:r>
    </w:p>
    <w:p w14:paraId="035BCC7A"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Pisano provjeravanje</w:t>
      </w:r>
    </w:p>
    <w:p w14:paraId="73C01240"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lastRenderedPageBreak/>
        <w:t>(1) Pod pisanim provjeravanjem podrazumijevaju se svi oblici provjere koji rezultiraju ocjenom učenikovog pisanoga uratka, a provode se kontinuirano tijekom nastavne godine.</w:t>
      </w:r>
    </w:p>
    <w:p w14:paraId="2A89085A"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(2) Učitelj/nastavnik je dužan obavijestiti učenike o opsegu sadržaja i odgojno-obrazovnim ishodima koji će se provjeravati i načinu provođenja pisane provjere.</w:t>
      </w:r>
    </w:p>
    <w:p w14:paraId="66123C22"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(3) U jednome danu učenik može pisati samo jednu pisanu provjeru, a u jednome tjednu najviše četiri pisane provjere.</w:t>
      </w:r>
    </w:p>
    <w:p w14:paraId="6499E394"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(4) Učitelj/nastavnik obavezan je najaviti pisanu provjeru najmanje 14dana prije provjere te termin provjere upisati u Razrednu knjigu.</w:t>
      </w:r>
    </w:p>
    <w:p w14:paraId="7EBC8EEF"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(5) Iznimno od stavka 4. ovoga članka, pisane provjere koje se provode sa svrhom vrednovanja za učenje ili vrednovanja kao učenje nije potrebno najavljivati.</w:t>
      </w:r>
    </w:p>
    <w:p w14:paraId="22C475CA"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9. (NN </w:t>
      </w:r>
      <w:hyperlink r:id="rId18" w:history="1">
        <w:r w:rsidRPr="003A2BDF">
          <w:rPr>
            <w:rStyle w:val="Hyperlink"/>
            <w:rFonts w:ascii="Calibri" w:hAnsi="Calibri" w:cs="Calibri"/>
            <w:b/>
            <w:bCs/>
            <w:sz w:val="24"/>
            <w:szCs w:val="24"/>
          </w:rPr>
          <w:t>82/19</w:t>
        </w:r>
      </w:hyperlink>
      <w:r w:rsidRPr="003A2BDF">
        <w:rPr>
          <w:rFonts w:ascii="Calibri" w:hAnsi="Calibri" w:cs="Calibri"/>
          <w:sz w:val="24"/>
          <w:szCs w:val="24"/>
        </w:rPr>
        <w:t>)</w:t>
      </w:r>
    </w:p>
    <w:p w14:paraId="65E78FBC"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Ponavljanje pisane provjere znanja</w:t>
      </w:r>
    </w:p>
    <w:p w14:paraId="7F8218D4"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(1) Nakon pisane provjere s neočekivanim postignućem učenika, učitelj/nastavnik treba utvrditi uzroke neuspjeha i o njima dati povratnu informaciju učenicima.</w:t>
      </w:r>
    </w:p>
    <w:p w14:paraId="3CFF6EAF"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(2) U dogovoru s razrednikom i stručnom službom škole predmetni učitelj/nastavnik treba odlučiti o potrebi ponavljanja pisane provjere te primjerenom obliku podrške učenicima za postizanje odgojno-obrazovnih ishoda.</w:t>
      </w:r>
    </w:p>
    <w:p w14:paraId="2E45F82E"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(3) Ponavljanje pisane provjere provodi se u redovnoj nastavi nakon što učitelj/nastavnik utvrdi neuspjeh učenika, odnosno neočekivana postignuća učenika, odnosno kada ocijeni da postignuća učenika nisu dovoljna za nastavak poučavanja i učenja.</w:t>
      </w:r>
    </w:p>
    <w:p w14:paraId="4D4ED6ED"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10. (NN </w:t>
      </w:r>
      <w:hyperlink r:id="rId19" w:history="1">
        <w:r w:rsidRPr="003A2BDF">
          <w:rPr>
            <w:rStyle w:val="Hyperlink"/>
            <w:rFonts w:ascii="Calibri" w:hAnsi="Calibri" w:cs="Calibri"/>
            <w:b/>
            <w:bCs/>
            <w:sz w:val="24"/>
            <w:szCs w:val="24"/>
          </w:rPr>
          <w:t>82/19</w:t>
        </w:r>
      </w:hyperlink>
      <w:r w:rsidRPr="003A2BDF">
        <w:rPr>
          <w:rFonts w:ascii="Calibri" w:hAnsi="Calibri" w:cs="Calibri"/>
          <w:sz w:val="24"/>
          <w:szCs w:val="24"/>
        </w:rPr>
        <w:t>)</w:t>
      </w:r>
    </w:p>
    <w:p w14:paraId="6498103F"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Brisan.</w:t>
      </w:r>
    </w:p>
    <w:p w14:paraId="38B42C09"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11. (NN </w:t>
      </w:r>
      <w:hyperlink r:id="rId20" w:history="1">
        <w:r w:rsidRPr="003A2BDF">
          <w:rPr>
            <w:rStyle w:val="Hyperlink"/>
            <w:rFonts w:ascii="Calibri" w:hAnsi="Calibri" w:cs="Calibri"/>
            <w:b/>
            <w:bCs/>
            <w:sz w:val="24"/>
            <w:szCs w:val="24"/>
          </w:rPr>
          <w:t>82/19</w:t>
        </w:r>
      </w:hyperlink>
      <w:r w:rsidRPr="003A2BDF">
        <w:rPr>
          <w:rFonts w:ascii="Calibri" w:hAnsi="Calibri" w:cs="Calibri"/>
          <w:sz w:val="24"/>
          <w:szCs w:val="24"/>
        </w:rPr>
        <w:t>)</w:t>
      </w:r>
    </w:p>
    <w:p w14:paraId="730A255D"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Zaključna ocjena iz nastavnoga predmeta</w:t>
      </w:r>
    </w:p>
    <w:p w14:paraId="674867A7"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(1) Zaključna je ocjena iz nastavnoga predmeta izraz postignute razine učenikovih kompetencija ostvarenosti odgojno-obrazovnih ishoda u nastavnome predmetu/području i rezultat ukupnoga procesa vrednovanja tijekom nastavne godine, a izvodi se temeljem elemenata vrednovanja.</w:t>
      </w:r>
    </w:p>
    <w:p w14:paraId="5FBD7012"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(2) Zaključna ocjena iz nastavnoga predmeta na kraju nastavne godine ne mora proizlaziti iz aritmetičke sredine upisanih ocjena, osobito ako je učenik pokazao napredak u drugom polugodištu.</w:t>
      </w:r>
    </w:p>
    <w:p w14:paraId="01814CCB"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12. (NN </w:t>
      </w:r>
      <w:hyperlink r:id="rId21" w:history="1">
        <w:r w:rsidRPr="003A2BDF">
          <w:rPr>
            <w:rStyle w:val="Hyperlink"/>
            <w:rFonts w:ascii="Calibri" w:hAnsi="Calibri" w:cs="Calibri"/>
            <w:b/>
            <w:bCs/>
            <w:sz w:val="24"/>
            <w:szCs w:val="24"/>
          </w:rPr>
          <w:t>82/19</w:t>
        </w:r>
      </w:hyperlink>
      <w:r w:rsidRPr="003A2BDF">
        <w:rPr>
          <w:rFonts w:ascii="Calibri" w:hAnsi="Calibri" w:cs="Calibri"/>
          <w:sz w:val="24"/>
          <w:szCs w:val="24"/>
        </w:rPr>
        <w:t>)</w:t>
      </w:r>
    </w:p>
    <w:p w14:paraId="586BAA96"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Prava i obveze učitelja/nastavnika</w:t>
      </w:r>
    </w:p>
    <w:p w14:paraId="357C2817"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 xml:space="preserve">(1) Učitelj/nastavnik svakog nastavnoga predmeta je na početku i tijekom nastavne godine dužan upoznati učenike s elementima vrednovanja, odgojno-obrazovnim ishodima, </w:t>
      </w:r>
      <w:r w:rsidRPr="003A2BDF">
        <w:rPr>
          <w:rFonts w:ascii="Calibri" w:hAnsi="Calibri" w:cs="Calibri"/>
          <w:sz w:val="24"/>
          <w:szCs w:val="24"/>
        </w:rPr>
        <w:lastRenderedPageBreak/>
        <w:t>kompetencijama, razinom dobar ostvarenosti iz kurikuluma nastavnog predmeta, planiranim metodama vrednovanja te planiranoj učestalosti vrednovanja, a vrednovanje postignuća učenika s teškoćama dužan je uskladiti s preporukama stručnih suradnika.</w:t>
      </w:r>
    </w:p>
    <w:p w14:paraId="771AD95D"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(2) U prvome polugodištu prvoga razreda osnovne škole učitelj prati učenikova postignuća, ali ga ne ocjenjuje brojčano, nego ga odgojno-obrazovnim postupcima i mjerama potiče i priprema na vrednovanje i ocjenjivanje njegovih postignuća i ocjenjivanje njegova uspjeha u daljnjemu školovanju.</w:t>
      </w:r>
    </w:p>
    <w:p w14:paraId="5C11AAE9"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(3) Tijekom praćenja učenikova razvoja učitelj/nastavnik u rubriku bilježaka u imeniku upisuje samo ona zapažanja koja su učitelju/nastavniku u praćenju učenika uočljiva, učeniku i roditelju razumljiva te koja učitelju/nastavniku mogu pomoći u konačnome ocjenjivanju uspjeha u nastavnome predmetu, odnosno odgojno-obrazovnome području.</w:t>
      </w:r>
    </w:p>
    <w:p w14:paraId="2CD69CAA"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(4) Učenika iz pojedinoga nastavnoga predmeta ocjenjuje učitelj/nastavnik koji poučava nastavni predmet.</w:t>
      </w:r>
    </w:p>
    <w:p w14:paraId="4044EE70"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(5) Učitelj/nastavnik ocjenjuje javno u razrednome odjelu ili odgojno-obrazovnoj skupini osim u iznimnim slučajevima (nastava u bolnici, u kući).</w:t>
      </w:r>
    </w:p>
    <w:p w14:paraId="2F7C1FDF"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(6) Učitelj/nastavnik je dužan svaku ocjenu javno priopćiti i obrazložiti učeniku.</w:t>
      </w:r>
    </w:p>
    <w:p w14:paraId="47DF780A"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(7) Učitelj/nastavnik je dužan priopćenu ocjenu upisati u imenik u za to odgovarajući odjeljak.</w:t>
      </w:r>
    </w:p>
    <w:p w14:paraId="630D0327"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(8) Ocijenjeni pisani rad te druge vrste radova, učitelj/nastavnik je dužan dati učeniku na uvid i čuvati u školi do kraja školske godine.</w:t>
      </w:r>
    </w:p>
    <w:p w14:paraId="053EE21D"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(9) U umjetničkim školama učenikovo znanje na redovitim godišnjim ispitima ocjenjuje predmetni nastavnik koji je radio s njime tijekom nastavne godine i ispitno povjerenstvo, a na popravnim, razrednim, predmetnim i razlikovnim ispitima ocjenjuje ga ispitno povjerenstvo.</w:t>
      </w:r>
    </w:p>
    <w:p w14:paraId="58751813"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(10) Svi učitelji/nastavnici dužni su planirati termine za individualne informativne razgovore. Termini se javno objavljuju na mrežnim stranicama škole.</w:t>
      </w:r>
    </w:p>
    <w:p w14:paraId="1F296AD2"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13. (NN </w:t>
      </w:r>
      <w:hyperlink r:id="rId22" w:history="1">
        <w:r w:rsidRPr="003A2BDF">
          <w:rPr>
            <w:rStyle w:val="Hyperlink"/>
            <w:rFonts w:ascii="Calibri" w:hAnsi="Calibri" w:cs="Calibri"/>
            <w:b/>
            <w:bCs/>
            <w:sz w:val="24"/>
            <w:szCs w:val="24"/>
          </w:rPr>
          <w:t>82/19</w:t>
        </w:r>
      </w:hyperlink>
      <w:r w:rsidRPr="003A2BDF">
        <w:rPr>
          <w:rFonts w:ascii="Calibri" w:hAnsi="Calibri" w:cs="Calibri"/>
          <w:sz w:val="24"/>
          <w:szCs w:val="24"/>
        </w:rPr>
        <w:t>)</w:t>
      </w:r>
    </w:p>
    <w:p w14:paraId="12F3AC92"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Prava i obveze učenika</w:t>
      </w:r>
    </w:p>
    <w:p w14:paraId="29300BF2"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(1) Učenik ima pravo znati elemente vrednovanja, kao i planirane metode, načine i postupke vrednovanja od svakoga učitelja/nastavnika za svaki nastavni predmet.</w:t>
      </w:r>
    </w:p>
    <w:p w14:paraId="33471184"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(2) Učenik je dužan pridržavati se svih pravila koja se odnose na načine i postupke vrednovanja, te na pravila ponašanja učenika u školi.</w:t>
      </w:r>
    </w:p>
    <w:p w14:paraId="4877BD2F"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(3) Ukoliko se učenik ne pridržava pravila, učitelj/nastavnik može predložiti određenu pedagošku mjeru razredniku, razrednome vijeću ili učiteljskome/nastavničkome vijeću, koje može donijeti odluku o izricanju pedagoške mjere učeniku.</w:t>
      </w:r>
    </w:p>
    <w:p w14:paraId="34A191CF"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14. (NN </w:t>
      </w:r>
      <w:hyperlink r:id="rId23" w:history="1">
        <w:r w:rsidRPr="003A2BDF">
          <w:rPr>
            <w:rStyle w:val="Hyperlink"/>
            <w:rFonts w:ascii="Calibri" w:hAnsi="Calibri" w:cs="Calibri"/>
            <w:b/>
            <w:bCs/>
            <w:sz w:val="24"/>
            <w:szCs w:val="24"/>
          </w:rPr>
          <w:t>82/19</w:t>
        </w:r>
      </w:hyperlink>
      <w:r w:rsidRPr="003A2BDF">
        <w:rPr>
          <w:rFonts w:ascii="Calibri" w:hAnsi="Calibri" w:cs="Calibri"/>
          <w:sz w:val="24"/>
          <w:szCs w:val="24"/>
        </w:rPr>
        <w:t>)</w:t>
      </w:r>
    </w:p>
    <w:p w14:paraId="356394F5"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Prava i obveze roditelja</w:t>
      </w:r>
    </w:p>
    <w:p w14:paraId="48563DEA"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lastRenderedPageBreak/>
        <w:t>(1) Roditelj ima pravo znati elemente vrednovanja, kao i planirane metode, načine i postupke vrednovanja za svaki nastavni predmet.</w:t>
      </w:r>
    </w:p>
    <w:p w14:paraId="2F921BB7"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(2) O metodama, načinima i postupcima vrednovanja i ocjenjivanja roditelje informira razrednik na roditeljskim sastancima i individualnim informativnim razgovorima.</w:t>
      </w:r>
    </w:p>
    <w:p w14:paraId="133E0FED"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(3) Roditelj je dužan redovito dolaziti na roditeljske sastanke i individualne informativne razgovore s razrednikom.</w:t>
      </w:r>
    </w:p>
    <w:p w14:paraId="4EF5C5C6"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(4) Roditelj ima pravo uvida u pisane i druge radove i ocjene djeteta na organiziranim individualnim informativnim razgovorima s razrednikom ili predmetnim učiteljem/nastavnikom.</w:t>
      </w:r>
    </w:p>
    <w:p w14:paraId="45B10C21"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(5) Roditelj ima pravo izvijestiti ravnatelja ako mu razrednik ili predmetni učitelj/nastavnik odbija dati pravodobne i potrebne obavijesti o uspjehu njegovoga djeteta.</w:t>
      </w:r>
    </w:p>
    <w:p w14:paraId="342B279B"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(6) Roditelj/i ima pravo na pisane i usmene predstavke (primjedbe, komentare i sugestije) o vrednovanju učenika koje podnose ravnatelju i/ili vijeću roditelja.</w:t>
      </w:r>
    </w:p>
    <w:p w14:paraId="769B2213"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(7) U posljednja dva tjedna prije završetka nastavne godine ne organiziraju se roditeljski sastanci i individualni informativni razgovori.</w:t>
      </w:r>
    </w:p>
    <w:p w14:paraId="387718A8"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15. (NN </w:t>
      </w:r>
      <w:hyperlink r:id="rId24" w:history="1">
        <w:r w:rsidRPr="003A2BDF">
          <w:rPr>
            <w:rStyle w:val="Hyperlink"/>
            <w:rFonts w:ascii="Calibri" w:hAnsi="Calibri" w:cs="Calibri"/>
            <w:b/>
            <w:bCs/>
            <w:sz w:val="24"/>
            <w:szCs w:val="24"/>
          </w:rPr>
          <w:t>82/19</w:t>
        </w:r>
      </w:hyperlink>
      <w:r w:rsidRPr="003A2BDF">
        <w:rPr>
          <w:rFonts w:ascii="Calibri" w:hAnsi="Calibri" w:cs="Calibri"/>
          <w:sz w:val="24"/>
          <w:szCs w:val="24"/>
        </w:rPr>
        <w:t>)</w:t>
      </w:r>
    </w:p>
    <w:p w14:paraId="4BF9B248"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Prava i obveze razrednika</w:t>
      </w:r>
    </w:p>
    <w:p w14:paraId="45395869"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(1) Razrednik je dužan na prvome roditeljskome sastanku informirati roditelje o odredbama ovoga Pravilnika, a na prvome nastavnome satu učenike.</w:t>
      </w:r>
    </w:p>
    <w:p w14:paraId="44018F55"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(2) Raspored i vrijeme roditeljskih sastanaka i individualnih informativnih razgovora planira i donosi razrednik, a termini informativnih razgovora objavljuju se javno na mrežnim stranicama škole.</w:t>
      </w:r>
    </w:p>
    <w:p w14:paraId="0AE48BE5"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(3) Razrednik je dužan tijekom nastavne godine održati najmanje tri roditeljska sastanka na kojima daje pregled razrednih postignuća u prethodnome razdoblju, informira roditelje o aktivnostima u razrednome odjelu te osigurava razmjenu informacija između roditelja i učitelja/nastavnika, stručne službe i ravnatelja.</w:t>
      </w:r>
    </w:p>
    <w:p w14:paraId="7CD785C3"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(4) Razrednik je dužan jednom tjedno organizirati individualni informativni razgovor za roditelje na kojemu izvješćuje roditelja o postignutim razinama kompetencija ostvarenosti odgojno-obrazovnih ishoda njegovoga djeteta kroz sve nastavne predmete, izostancima i vladanju.</w:t>
      </w:r>
    </w:p>
    <w:p w14:paraId="7333852B"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(5) Brisan.</w:t>
      </w:r>
    </w:p>
    <w:p w14:paraId="1A88C23A"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(6) Brisan.</w:t>
      </w:r>
    </w:p>
    <w:p w14:paraId="0B8FEB70"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16.</w:t>
      </w:r>
    </w:p>
    <w:p w14:paraId="2B47DC4A"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Prava i obveze ravnatelja</w:t>
      </w:r>
    </w:p>
    <w:p w14:paraId="7EDAC9FC"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lastRenderedPageBreak/>
        <w:t>(1) Ravnatelj škole dužan je na početku školske godine informirati sve učitelje/nastavnike i stručne suradnike o odredbama ovoga Pravilnika.</w:t>
      </w:r>
    </w:p>
    <w:p w14:paraId="2A83D736"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(2) Ravnatelj i stručna služba škole dužni su tijekom nastavne godine pratiti provođenje ovoga Pravilnika.</w:t>
      </w:r>
    </w:p>
    <w:p w14:paraId="1EE40677"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(3) Ravnatelj je dužan razmotriti svaku pisanu predstavku roditelja ili vijeća roditelja koja se odnosi na načine i postupke vrednovanja učenika i pisano odgovoriti najkasnije u roku od 15 dana od dana zaprimanja predstavke.</w:t>
      </w:r>
    </w:p>
    <w:p w14:paraId="2CD8C086"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17.</w:t>
      </w:r>
    </w:p>
    <w:p w14:paraId="125E9E7D"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Danom stupanja na snagu ovoga Pravilnika prestaje važiti Pravilnik o načinu praćenja i ocjenjivanja učenika u osnovnoj i srednjoj školi (»Narodne novine«, br. 92/95.).</w:t>
      </w:r>
    </w:p>
    <w:p w14:paraId="52F2D1AA"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18.</w:t>
      </w:r>
    </w:p>
    <w:p w14:paraId="48623FB3"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Ovaj Pravilnik stupa na snagu danom objave u »Narodnim novinama«.</w:t>
      </w:r>
    </w:p>
    <w:p w14:paraId="7C3280CD" w14:textId="77777777" w:rsidR="003A2BDF" w:rsidRPr="003A2BDF" w:rsidRDefault="003A2BDF" w:rsidP="003A2BDF">
      <w:pPr>
        <w:jc w:val="center"/>
        <w:rPr>
          <w:rFonts w:ascii="Calibri" w:hAnsi="Calibri" w:cs="Calibri"/>
          <w:b/>
          <w:bCs/>
          <w:sz w:val="24"/>
          <w:szCs w:val="24"/>
        </w:rPr>
      </w:pPr>
      <w:r w:rsidRPr="003A2BDF">
        <w:rPr>
          <w:rFonts w:ascii="Calibri" w:hAnsi="Calibri" w:cs="Calibri"/>
          <w:b/>
          <w:bCs/>
          <w:sz w:val="24"/>
          <w:szCs w:val="24"/>
        </w:rPr>
        <w:t>Prijelazne i završne odredbe iz NN 82/19</w:t>
      </w:r>
    </w:p>
    <w:p w14:paraId="38844351"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15.</w:t>
      </w:r>
    </w:p>
    <w:p w14:paraId="4517443B"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Ovaj Pravilnik stupa na snagu prvoga dana od dana objave u »Narodnim novinama«.</w:t>
      </w:r>
    </w:p>
    <w:p w14:paraId="28A1620D" w14:textId="77777777" w:rsidR="003A2BDF" w:rsidRPr="003A2BDF" w:rsidRDefault="003A2BDF" w:rsidP="003A2BDF">
      <w:pPr>
        <w:jc w:val="center"/>
        <w:rPr>
          <w:rFonts w:ascii="Calibri" w:hAnsi="Calibri" w:cs="Calibri"/>
          <w:b/>
          <w:bCs/>
          <w:sz w:val="24"/>
          <w:szCs w:val="24"/>
        </w:rPr>
      </w:pPr>
      <w:r w:rsidRPr="003A2BDF">
        <w:rPr>
          <w:rFonts w:ascii="Calibri" w:hAnsi="Calibri" w:cs="Calibri"/>
          <w:b/>
          <w:bCs/>
          <w:sz w:val="24"/>
          <w:szCs w:val="24"/>
        </w:rPr>
        <w:t>Prijelazne i završne odredbe iz NN 43/20</w:t>
      </w:r>
    </w:p>
    <w:p w14:paraId="523B65A9"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2.</w:t>
      </w:r>
    </w:p>
    <w:p w14:paraId="4BB7F589"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Ovaj Pravilnik stupa na snagu osmoga dana od dana objave u »Narodnim novinama«.</w:t>
      </w:r>
    </w:p>
    <w:p w14:paraId="6B536D3F" w14:textId="77777777" w:rsidR="003A2BDF" w:rsidRPr="003A2BDF" w:rsidRDefault="003A2BDF" w:rsidP="003A2BDF">
      <w:pPr>
        <w:jc w:val="center"/>
        <w:rPr>
          <w:rFonts w:ascii="Calibri" w:hAnsi="Calibri" w:cs="Calibri"/>
          <w:b/>
          <w:bCs/>
          <w:sz w:val="24"/>
          <w:szCs w:val="24"/>
        </w:rPr>
      </w:pPr>
      <w:r w:rsidRPr="003A2BDF">
        <w:rPr>
          <w:rFonts w:ascii="Calibri" w:hAnsi="Calibri" w:cs="Calibri"/>
          <w:b/>
          <w:bCs/>
          <w:sz w:val="24"/>
          <w:szCs w:val="24"/>
        </w:rPr>
        <w:t>Prijelazne i završne odredbe iz NN 100/21</w:t>
      </w:r>
    </w:p>
    <w:p w14:paraId="7A92F9FA"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2.</w:t>
      </w:r>
    </w:p>
    <w:p w14:paraId="738CE1D4"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Ovaj Pravilnik stupa na snagu osmoga dana od dana objave u »Narodnim novinama«.</w:t>
      </w:r>
    </w:p>
    <w:p w14:paraId="339D7179" w14:textId="77777777" w:rsidR="001E4821" w:rsidRPr="003A2BDF" w:rsidRDefault="001E4821">
      <w:pPr>
        <w:rPr>
          <w:rFonts w:ascii="Calibri" w:hAnsi="Calibri" w:cs="Calibri"/>
          <w:sz w:val="24"/>
          <w:szCs w:val="24"/>
        </w:rPr>
      </w:pPr>
    </w:p>
    <w:sectPr w:rsidR="001E4821" w:rsidRPr="003A2B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DF"/>
    <w:rsid w:val="000C074C"/>
    <w:rsid w:val="001E4821"/>
    <w:rsid w:val="003A2BDF"/>
    <w:rsid w:val="009C5F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36A67"/>
  <w15:chartTrackingRefBased/>
  <w15:docId w15:val="{6EFEBA07-8383-4A1E-AE4C-0D0C2B58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B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B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B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B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B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B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B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B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B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B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B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B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B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B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B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BDF"/>
    <w:rPr>
      <w:rFonts w:eastAsiaTheme="majorEastAsia" w:cstheme="majorBidi"/>
      <w:color w:val="272727" w:themeColor="text1" w:themeTint="D8"/>
    </w:rPr>
  </w:style>
  <w:style w:type="paragraph" w:styleId="Title">
    <w:name w:val="Title"/>
    <w:basedOn w:val="Normal"/>
    <w:next w:val="Normal"/>
    <w:link w:val="TitleChar"/>
    <w:uiPriority w:val="10"/>
    <w:qFormat/>
    <w:rsid w:val="003A2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B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B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BDF"/>
    <w:pPr>
      <w:spacing w:before="160"/>
      <w:jc w:val="center"/>
    </w:pPr>
    <w:rPr>
      <w:i/>
      <w:iCs/>
      <w:color w:val="404040" w:themeColor="text1" w:themeTint="BF"/>
    </w:rPr>
  </w:style>
  <w:style w:type="character" w:customStyle="1" w:styleId="QuoteChar">
    <w:name w:val="Quote Char"/>
    <w:basedOn w:val="DefaultParagraphFont"/>
    <w:link w:val="Quote"/>
    <w:uiPriority w:val="29"/>
    <w:rsid w:val="003A2BDF"/>
    <w:rPr>
      <w:i/>
      <w:iCs/>
      <w:color w:val="404040" w:themeColor="text1" w:themeTint="BF"/>
    </w:rPr>
  </w:style>
  <w:style w:type="paragraph" w:styleId="ListParagraph">
    <w:name w:val="List Paragraph"/>
    <w:basedOn w:val="Normal"/>
    <w:uiPriority w:val="34"/>
    <w:qFormat/>
    <w:rsid w:val="003A2BDF"/>
    <w:pPr>
      <w:ind w:left="720"/>
      <w:contextualSpacing/>
    </w:pPr>
  </w:style>
  <w:style w:type="character" w:styleId="IntenseEmphasis">
    <w:name w:val="Intense Emphasis"/>
    <w:basedOn w:val="DefaultParagraphFont"/>
    <w:uiPriority w:val="21"/>
    <w:qFormat/>
    <w:rsid w:val="003A2BDF"/>
    <w:rPr>
      <w:i/>
      <w:iCs/>
      <w:color w:val="0F4761" w:themeColor="accent1" w:themeShade="BF"/>
    </w:rPr>
  </w:style>
  <w:style w:type="paragraph" w:styleId="IntenseQuote">
    <w:name w:val="Intense Quote"/>
    <w:basedOn w:val="Normal"/>
    <w:next w:val="Normal"/>
    <w:link w:val="IntenseQuoteChar"/>
    <w:uiPriority w:val="30"/>
    <w:qFormat/>
    <w:rsid w:val="003A2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BDF"/>
    <w:rPr>
      <w:i/>
      <w:iCs/>
      <w:color w:val="0F4761" w:themeColor="accent1" w:themeShade="BF"/>
    </w:rPr>
  </w:style>
  <w:style w:type="character" w:styleId="IntenseReference">
    <w:name w:val="Intense Reference"/>
    <w:basedOn w:val="DefaultParagraphFont"/>
    <w:uiPriority w:val="32"/>
    <w:qFormat/>
    <w:rsid w:val="003A2BDF"/>
    <w:rPr>
      <w:b/>
      <w:bCs/>
      <w:smallCaps/>
      <w:color w:val="0F4761" w:themeColor="accent1" w:themeShade="BF"/>
      <w:spacing w:val="5"/>
    </w:rPr>
  </w:style>
  <w:style w:type="character" w:styleId="Hyperlink">
    <w:name w:val="Hyperlink"/>
    <w:basedOn w:val="DefaultParagraphFont"/>
    <w:uiPriority w:val="99"/>
    <w:unhideWhenUsed/>
    <w:rsid w:val="003A2BDF"/>
    <w:rPr>
      <w:color w:val="467886" w:themeColor="hyperlink"/>
      <w:u w:val="single"/>
    </w:rPr>
  </w:style>
  <w:style w:type="character" w:styleId="UnresolvedMention">
    <w:name w:val="Unresolved Mention"/>
    <w:basedOn w:val="DefaultParagraphFont"/>
    <w:uiPriority w:val="99"/>
    <w:semiHidden/>
    <w:unhideWhenUsed/>
    <w:rsid w:val="003A2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760418">
      <w:bodyDiv w:val="1"/>
      <w:marLeft w:val="0"/>
      <w:marRight w:val="0"/>
      <w:marTop w:val="0"/>
      <w:marBottom w:val="0"/>
      <w:divBdr>
        <w:top w:val="none" w:sz="0" w:space="0" w:color="auto"/>
        <w:left w:val="none" w:sz="0" w:space="0" w:color="auto"/>
        <w:bottom w:val="none" w:sz="0" w:space="0" w:color="auto"/>
        <w:right w:val="none" w:sz="0" w:space="0" w:color="auto"/>
      </w:divBdr>
    </w:div>
    <w:div w:id="70467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49867" TargetMode="External"/><Relationship Id="rId13" Type="http://schemas.openxmlformats.org/officeDocument/2006/relationships/hyperlink" Target="https://www.zakon.hr/cms.htm?id=40093" TargetMode="External"/><Relationship Id="rId18" Type="http://schemas.openxmlformats.org/officeDocument/2006/relationships/hyperlink" Target="https://www.zakon.hr/cms.htm?id=40093"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zakon.hr/cms.htm?id=40093" TargetMode="External"/><Relationship Id="rId7" Type="http://schemas.openxmlformats.org/officeDocument/2006/relationships/hyperlink" Target="https://www.zakon.hr/cms.htm?id=44175" TargetMode="External"/><Relationship Id="rId12" Type="http://schemas.openxmlformats.org/officeDocument/2006/relationships/hyperlink" Target="https://www.zakon.hr/cms.htm?id=40093" TargetMode="External"/><Relationship Id="rId17" Type="http://schemas.openxmlformats.org/officeDocument/2006/relationships/hyperlink" Target="https://www.zakon.hr/cms.htm?id=49867"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zakon.hr/cms.htm?id=40093" TargetMode="External"/><Relationship Id="rId20" Type="http://schemas.openxmlformats.org/officeDocument/2006/relationships/hyperlink" Target="https://www.zakon.hr/cms.htm?id=40093" TargetMode="External"/><Relationship Id="rId1" Type="http://schemas.openxmlformats.org/officeDocument/2006/relationships/styles" Target="styles.xml"/><Relationship Id="rId6" Type="http://schemas.openxmlformats.org/officeDocument/2006/relationships/hyperlink" Target="https://www.zakon.hr/cms.htm?id=40093" TargetMode="External"/><Relationship Id="rId11" Type="http://schemas.openxmlformats.org/officeDocument/2006/relationships/hyperlink" Target="https://www.zakon.hr/cms.htm?id=40093" TargetMode="External"/><Relationship Id="rId24" Type="http://schemas.openxmlformats.org/officeDocument/2006/relationships/hyperlink" Target="https://www.zakon.hr/cms.htm?id=40093" TargetMode="External"/><Relationship Id="rId5" Type="http://schemas.openxmlformats.org/officeDocument/2006/relationships/hyperlink" Target="https://www.zakon.hr/cms.htm?id=2645" TargetMode="External"/><Relationship Id="rId15" Type="http://schemas.openxmlformats.org/officeDocument/2006/relationships/hyperlink" Target="https://www.zakon.hr/cms.htm?id=40093" TargetMode="External"/><Relationship Id="rId23" Type="http://schemas.openxmlformats.org/officeDocument/2006/relationships/hyperlink" Target="https://www.zakon.hr/cms.htm?id=40093" TargetMode="External"/><Relationship Id="rId10" Type="http://schemas.openxmlformats.org/officeDocument/2006/relationships/hyperlink" Target="https://www.zakon.hr/cms.htm?id=44175" TargetMode="External"/><Relationship Id="rId19" Type="http://schemas.openxmlformats.org/officeDocument/2006/relationships/hyperlink" Target="https://www.zakon.hr/cms.htm?id=40093" TargetMode="External"/><Relationship Id="rId4" Type="http://schemas.openxmlformats.org/officeDocument/2006/relationships/hyperlink" Target="https://www.zakon.hr/cms.htm?id=2731" TargetMode="External"/><Relationship Id="rId9" Type="http://schemas.openxmlformats.org/officeDocument/2006/relationships/hyperlink" Target="https://www.zakon.hr/cms.htm?id=40093" TargetMode="External"/><Relationship Id="rId14" Type="http://schemas.openxmlformats.org/officeDocument/2006/relationships/hyperlink" Target="https://www.zakon.hr/cms.htm?id=40093" TargetMode="External"/><Relationship Id="rId22" Type="http://schemas.openxmlformats.org/officeDocument/2006/relationships/hyperlink" Target="https://www.zakon.hr/cms.htm?id=400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2389</Words>
  <Characters>13623</Characters>
  <Application>Microsoft Office Word</Application>
  <DocSecurity>0</DocSecurity>
  <Lines>113</Lines>
  <Paragraphs>31</Paragraphs>
  <ScaleCrop>false</ScaleCrop>
  <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Mattea Grbeša</dc:creator>
  <cp:keywords/>
  <dc:description/>
  <cp:lastModifiedBy>Lenovo</cp:lastModifiedBy>
  <cp:revision>2</cp:revision>
  <dcterms:created xsi:type="dcterms:W3CDTF">2025-11-05T10:42:00Z</dcterms:created>
  <dcterms:modified xsi:type="dcterms:W3CDTF">2025-11-05T10:42:00Z</dcterms:modified>
</cp:coreProperties>
</file>